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media/image9.gif" ContentType="image/gif"/>
  <Override PartName="/word/media/image8.gif" ContentType="image/gif"/>
  <Override PartName="/word/media/image7.gif" ContentType="image/gif"/>
  <Override PartName="/word/media/image6.gif" ContentType="image/gif"/>
  <Override PartName="/word/media/image5.gif" ContentType="image/gif"/>
  <Override PartName="/word/media/image4.gif" ContentType="image/gif"/>
  <Override PartName="/word/media/image3.gif" ContentType="image/gif"/>
  <Override PartName="/word/media/image2.gif" ContentType="image/gif"/>
  <Override PartName="/word/media/image1.gif" ContentType="image/gif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Criterios diagnósticos de la ADA 2013 </w:t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W w:w="9638" w:type="dxa"/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cantSplit w:val="false"/>
        </w:trPr>
        <w:tc>
          <w:tcPr>
            <w:tcW w:w="9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23FF23" w:val="clear"/>
          </w:tcPr>
          <w:p>
            <w:pPr>
              <w:pStyle w:val="Normal"/>
              <w:jc w:val="center"/>
              <w:rPr>
                <w:b/>
                <w:bCs/>
                <w:sz w:val="32"/>
                <w:szCs w:val="32"/>
                <w:shd w:fill="auto" w:val="clear"/>
              </w:rPr>
            </w:pPr>
            <w:r>
              <w:rPr>
                <w:b/>
                <w:bCs/>
                <w:sz w:val="32"/>
                <w:szCs w:val="32"/>
                <w:shd w:fill="auto" w:val="clear"/>
              </w:rPr>
              <w:t>Criterios diagnósticos de diabetes</w:t>
            </w:r>
          </w:p>
        </w:tc>
      </w:tr>
    </w:tbl>
    <w:p>
      <w:pPr>
        <w:pStyle w:val="Normal"/>
        <w:jc w:val="center"/>
        <w:rPr>
          <w:b/>
          <w:bCs/>
          <w:sz w:val="16"/>
          <w:szCs w:val="16"/>
          <w:shd w:fill="3DEB3D" w:val="clear"/>
        </w:rPr>
      </w:pPr>
      <w:r>
        <w:rPr>
          <w:b/>
          <w:bCs/>
          <w:sz w:val="16"/>
          <w:szCs w:val="16"/>
          <w:shd w:fill="3DEB3D" w:val="clear"/>
        </w:rPr>
      </w:r>
    </w:p>
    <w:tbl>
      <w:tblPr>
        <w:tblW w:w="9638" w:type="dxa"/>
        <w:jc w:val="left"/>
        <w:tblInd w:w="55" w:type="dxa"/>
        <w:tblBorders>
          <w:top w:val="single" w:sz="8" w:space="0" w:color="3DEB3D"/>
          <w:left w:val="single" w:sz="8" w:space="0" w:color="3DEB3D"/>
          <w:bottom w:val="single" w:sz="8" w:space="0" w:color="3DEB3D"/>
          <w:insideH w:val="single" w:sz="8" w:space="0" w:color="3DEB3D"/>
          <w:right w:val="single" w:sz="8" w:space="0" w:color="3DEB3D"/>
          <w:insideV w:val="single" w:sz="8" w:space="0" w:color="3DEB3D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638"/>
      </w:tblGrid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Contenidodelatabl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0" t="0" r="0" b="0"/>
                  <wp:docPr id="0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HbA1C ≥6.5%</w:t>
            </w:r>
            <w:r>
              <w:rPr>
                <w:sz w:val="24"/>
                <w:szCs w:val="24"/>
              </w:rPr>
              <w:t>. La prueba se debe realizar en un laboratorio que use el método del NGSP certificado y estandarizado para el ensayo DCCT.</w:t>
            </w:r>
            <w:r>
              <w:rPr>
                <w:b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nil"/>
              <w:bottom w:val="single" w:sz="8" w:space="0" w:color="3DEB3D"/>
              <w:insideH w:val="single" w:sz="8" w:space="0" w:color="3DEB3D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nil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0" t="0" r="0" b="0"/>
                  <wp:docPr id="1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Glucosa plasmática en ayunas ≥126 mg/dL (7.0 mmol/L)</w:t>
            </w:r>
            <w:r>
              <w:rPr>
                <w:sz w:val="24"/>
                <w:szCs w:val="24"/>
              </w:rPr>
              <w:t>. El ayuno se define como la ausencia de ingesta calórica durante, al menos, 8 horas.</w:t>
            </w:r>
            <w:r>
              <w:rPr>
                <w:b/>
                <w:sz w:val="24"/>
                <w:szCs w:val="24"/>
              </w:rPr>
              <w:t>*</w:t>
            </w:r>
          </w:p>
        </w:tc>
      </w:tr>
      <w:tr>
        <w:trPr>
          <w:trHeight w:val="62" w:hRule="atLeast"/>
          <w:cantSplit w:val="false"/>
        </w:trPr>
        <w:tc>
          <w:tcPr>
            <w:tcW w:w="9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>o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04775" cy="104775"/>
                  <wp:effectExtent l="0" t="0" r="0" b="0"/>
                  <wp:docPr id="2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Glucosa plasmática postprandial (a las 2 horas) ≥200 mg/dL (11.1 mmol/L) en una prueba de tolerancia oral a la glucosa</w:t>
            </w:r>
            <w:r>
              <w:rPr>
                <w:sz w:val="24"/>
                <w:szCs w:val="24"/>
              </w:rPr>
              <w:t>. La prueba debe ser realizada según las indicaciones de la OMS, con una carga de hidratos de carbono equivalente a 75 gr de glucosa anhidra disuelta en agua.</w:t>
            </w:r>
            <w:r>
              <w:rPr>
                <w:b/>
                <w:sz w:val="24"/>
                <w:szCs w:val="24"/>
              </w:rPr>
              <w:t>*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nil"/>
              <w:bottom w:val="single" w:sz="8" w:space="0" w:color="3DEB3D"/>
              <w:insideH w:val="single" w:sz="8" w:space="0" w:color="3DEB3D"/>
              <w:right w:val="nil"/>
              <w:insideV w:val="nil"/>
            </w:tcBorders>
            <w:shd w:fill="auto" w:val="clear"/>
          </w:tcPr>
          <w:p>
            <w:pPr>
              <w:pStyle w:val="Normal"/>
              <w:rPr>
                <w:sz w:val="24"/>
                <w:szCs w:val="24"/>
              </w:rPr>
            </w:pPr>
            <w:r>
              <w:rPr/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o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nil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drawing>
                <wp:inline distT="0" distB="0" distL="0" distR="0">
                  <wp:extent cx="104775" cy="104775"/>
                  <wp:effectExtent l="0" t="0" r="0" b="0"/>
                  <wp:docPr id="3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Glucosa plasmática al azar ≥200 mg/dL (11.1 mmol/L) en un paciente con los síntomas clásicos de hiperglucemia o una crisis hiperglucémica.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>
      <w:pPr>
        <w:pStyle w:val="Contenidodelatabla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En ausencia de una hiperglucemia inequívoca se debe repetir la prueba para confirmar el resultado.</w:t>
      </w:r>
    </w:p>
    <w:p>
      <w:pPr>
        <w:pStyle w:val="Normal"/>
        <w:rPr>
          <w:b/>
          <w:bCs/>
          <w:sz w:val="32"/>
          <w:szCs w:val="32"/>
          <w:shd w:fill="3DEB3D" w:val="clear"/>
        </w:rPr>
      </w:pPr>
      <w:r>
        <w:rPr>
          <w:b/>
          <w:bCs/>
          <w:sz w:val="32"/>
          <w:szCs w:val="32"/>
          <w:shd w:fill="3DEB3D" w:val="clear"/>
        </w:rPr>
      </w:r>
    </w:p>
    <w:tbl>
      <w:tblPr>
        <w:tblW w:w="9638" w:type="dxa"/>
        <w:jc w:val="left"/>
        <w:tblInd w:w="55" w:type="dxa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cantSplit w:val="false"/>
        </w:trPr>
        <w:tc>
          <w:tcPr>
            <w:tcW w:w="9638" w:type="dxa"/>
            <w:tcBorders>
              <w:top w:val="nil"/>
              <w:left w:val="nil"/>
              <w:bottom w:val="nil"/>
              <w:insideH w:val="nil"/>
              <w:right w:val="nil"/>
              <w:insideV w:val="nil"/>
            </w:tcBorders>
            <w:shd w:fill="23FF23" w:val="clear"/>
          </w:tcPr>
          <w:p>
            <w:pPr>
              <w:pStyle w:val="Normal"/>
              <w:jc w:val="center"/>
              <w:rPr>
                <w:b/>
                <w:bCs/>
                <w:sz w:val="32"/>
                <w:szCs w:val="32"/>
                <w:shd w:fill="auto" w:val="clear"/>
              </w:rPr>
            </w:pPr>
            <w:r>
              <w:rPr>
                <w:b/>
                <w:bCs/>
                <w:sz w:val="32"/>
                <w:szCs w:val="32"/>
                <w:shd w:fill="auto" w:val="clear"/>
              </w:rPr>
              <w:t>Criterios de riesgo aumentado de diabetes (prediabetes)*</w:t>
            </w:r>
          </w:p>
        </w:tc>
      </w:tr>
    </w:tbl>
    <w:p>
      <w:pPr>
        <w:pStyle w:val="Normal"/>
        <w:jc w:val="center"/>
        <w:rPr>
          <w:b/>
          <w:bCs/>
          <w:sz w:val="16"/>
          <w:szCs w:val="16"/>
          <w:shd w:fill="3DEB3D" w:val="clear"/>
        </w:rPr>
      </w:pPr>
      <w:r>
        <w:rPr>
          <w:b/>
          <w:bCs/>
          <w:sz w:val="16"/>
          <w:szCs w:val="16"/>
          <w:shd w:fill="3DEB3D" w:val="clear"/>
        </w:rPr>
      </w:r>
    </w:p>
    <w:tbl>
      <w:tblPr>
        <w:tblW w:w="9638" w:type="dxa"/>
        <w:jc w:val="left"/>
        <w:tblInd w:w="55" w:type="dxa"/>
        <w:tblBorders>
          <w:top w:val="single" w:sz="8" w:space="0" w:color="3DEB3D"/>
          <w:left w:val="single" w:sz="8" w:space="0" w:color="3DEB3D"/>
          <w:bottom w:val="single" w:sz="8" w:space="0" w:color="3DEB3D"/>
          <w:insideH w:val="single" w:sz="8" w:space="0" w:color="3DEB3D"/>
          <w:right w:val="single" w:sz="8" w:space="0" w:color="3DEB3D"/>
          <w:insideV w:val="single" w:sz="8" w:space="0" w:color="3DEB3D"/>
        </w:tblBorders>
        <w:tblCellMar>
          <w:top w:w="55" w:type="dxa"/>
          <w:left w:w="45" w:type="dxa"/>
          <w:bottom w:w="55" w:type="dxa"/>
          <w:right w:w="55" w:type="dxa"/>
        </w:tblCellMar>
      </w:tblPr>
      <w:tblGrid>
        <w:gridCol w:w="9638"/>
      </w:tblGrid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Contenidodelatabla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04775" cy="104775"/>
                  <wp:effectExtent l="0" t="0" r="0" b="0"/>
                  <wp:docPr id="4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Glucosa plasmática en ayunas ≥100 mg/dL (5.6 mmol/L) y ≤125 mg/dL (6.9 mmol/L)</w:t>
            </w:r>
            <w:r>
              <w:rPr>
                <w:sz w:val="24"/>
                <w:szCs w:val="24"/>
              </w:rPr>
              <w:t xml:space="preserve">. Glucosa alterada en ayunas. 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nil"/>
              <w:bottom w:val="single" w:sz="8" w:space="0" w:color="3DEB3D"/>
              <w:insideH w:val="single" w:sz="8" w:space="0" w:color="3DEB3D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o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nil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Contenidodelatabla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04775" cy="104775"/>
                  <wp:effectExtent l="0" t="0" r="0" b="0"/>
                  <wp:docPr id="5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sz w:val="24"/>
                <w:szCs w:val="24"/>
              </w:rPr>
              <w:t>Glucosa plasmática postprandial (a las 2 horas) ≥140 mg/dL (7.8 mmol/L) y ≤199 mg/dL (11.0 mmol/L) en una prueba de tolerancia oral a la glucosa</w:t>
            </w:r>
            <w:r>
              <w:rPr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4"/>
                <w:szCs w:val="24"/>
              </w:rPr>
              <w:t xml:space="preserve">Intolerancia a la glucosa. 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single" w:sz="8" w:space="0" w:color="3DEB3D"/>
              <w:left w:val="nil"/>
              <w:bottom w:val="single" w:sz="8" w:space="0" w:color="3DEB3D"/>
              <w:insideH w:val="single" w:sz="8" w:space="0" w:color="3DEB3D"/>
              <w:right w:val="nil"/>
              <w:insideV w:val="nil"/>
            </w:tcBorders>
            <w:shd w:fill="auto" w:val="clear"/>
          </w:tcPr>
          <w:p>
            <w:pPr>
              <w:pStyle w:val="Contenidodelatabla"/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4"/>
                <w:szCs w:val="24"/>
              </w:rPr>
              <w:t>o</w:t>
            </w:r>
          </w:p>
        </w:tc>
      </w:tr>
      <w:tr>
        <w:trPr>
          <w:cantSplit w:val="false"/>
        </w:trPr>
        <w:tc>
          <w:tcPr>
            <w:tcW w:w="9638" w:type="dxa"/>
            <w:tcBorders>
              <w:top w:val="nil"/>
              <w:left w:val="single" w:sz="8" w:space="0" w:color="3DEB3D"/>
              <w:bottom w:val="single" w:sz="8" w:space="0" w:color="3DEB3D"/>
              <w:insideH w:val="single" w:sz="8" w:space="0" w:color="3DEB3D"/>
              <w:right w:val="single" w:sz="8" w:space="0" w:color="3DEB3D"/>
              <w:insideV w:val="single" w:sz="8" w:space="0" w:color="3DEB3D"/>
            </w:tcBorders>
            <w:shd w:fill="auto" w:val="clear"/>
            <w:tcMar>
              <w:left w:w="45" w:type="dxa"/>
            </w:tcMar>
          </w:tcPr>
          <w:p>
            <w:pPr>
              <w:pStyle w:val="Contenidodelatabla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drawing>
                <wp:inline distT="0" distB="0" distL="0" distR="0">
                  <wp:extent cx="104775" cy="104775"/>
                  <wp:effectExtent l="0" t="0" r="0" b="0"/>
                  <wp:docPr id="6" name="Picture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04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sz w:val="24"/>
                <w:szCs w:val="24"/>
              </w:rPr>
              <w:t>HbA1C ≥5.7% y ≤6.4%</w:t>
            </w:r>
            <w:r>
              <w:rPr>
                <w:sz w:val="24"/>
                <w:szCs w:val="24"/>
              </w:rPr>
              <w:t>.</w:t>
            </w:r>
            <w:r>
              <w:rPr>
                <w:sz w:val="26"/>
                <w:szCs w:val="26"/>
              </w:rPr>
              <w:t xml:space="preserve"> </w:t>
            </w:r>
          </w:p>
        </w:tc>
      </w:tr>
    </w:tbl>
    <w:p>
      <w:pPr>
        <w:pStyle w:val="Contenidodelatabla"/>
        <w:jc w:val="both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 En los tres casos el riesgo es progresivo, aumentando más acusadamente al acercarse a los niveles de rango superior. </w:t>
      </w:r>
    </w:p>
    <w:p>
      <w:pPr>
        <w:pStyle w:val="Contenidodelatabla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pict>
          <v:line id="shape_0" from="1.3pt,6pt" to="481.25pt,7.45pt" stroked="t" style="position:absolute;flip:y">
            <v:stroke color="#3deb3d" weight="36360" joinstyle="round" endcap="flat"/>
            <v:fill on="false" detectmouseclick="t"/>
          </v:line>
        </w:pict>
      </w:r>
    </w:p>
    <w:p>
      <w:pPr>
        <w:pStyle w:val="Contenidodelatabla"/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Contenidodelatabla"/>
        <w:jc w:val="left"/>
        <w:rPr>
          <w:sz w:val="22"/>
          <w:szCs w:val="22"/>
        </w:rPr>
      </w:pPr>
      <w:r>
        <w:rPr>
          <w:b/>
          <w:sz w:val="22"/>
          <w:szCs w:val="22"/>
        </w:rPr>
        <w:t>ADA</w:t>
      </w:r>
      <w:r>
        <w:rPr>
          <w:sz w:val="22"/>
          <w:szCs w:val="22"/>
        </w:rPr>
        <w:t xml:space="preserve"> - Sociedad Americana de Diabetes (American Diabetes Association)</w:t>
        <w:br/>
      </w:r>
      <w:r>
        <w:rPr>
          <w:b/>
          <w:sz w:val="22"/>
          <w:szCs w:val="22"/>
        </w:rPr>
        <w:t>NGSP</w:t>
      </w:r>
      <w:r>
        <w:rPr>
          <w:sz w:val="22"/>
          <w:szCs w:val="22"/>
        </w:rPr>
        <w:t xml:space="preserve"> - National Glycohemoglobin Standardization Program</w:t>
        <w:br/>
      </w:r>
      <w:r>
        <w:rPr>
          <w:b/>
          <w:sz w:val="22"/>
          <w:szCs w:val="22"/>
        </w:rPr>
        <w:t>DCCT</w:t>
      </w:r>
      <w:r>
        <w:rPr>
          <w:sz w:val="22"/>
          <w:szCs w:val="22"/>
        </w:rPr>
        <w:t xml:space="preserve"> - Diabetes Control and Complications Trial</w:t>
        <w:br/>
      </w:r>
      <w:r>
        <w:rPr>
          <w:b/>
          <w:sz w:val="22"/>
          <w:szCs w:val="22"/>
        </w:rPr>
        <w:t>OMS</w:t>
      </w:r>
      <w:r>
        <w:rPr>
          <w:sz w:val="22"/>
          <w:szCs w:val="22"/>
        </w:rPr>
        <w:t xml:space="preserve"> - Organización Mundial de la Salud </w:t>
      </w:r>
    </w:p>
    <w:p>
      <w:pPr>
        <w:pStyle w:val="Contenidodelatabla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both"/>
        <w:rPr>
          <w:sz w:val="20"/>
          <w:szCs w:val="20"/>
        </w:rPr>
      </w:pPr>
      <w:r>
        <w:rPr>
          <w:sz w:val="20"/>
          <w:szCs w:val="20"/>
        </w:rPr>
        <w:pict>
          <v:line id="shape_0" from="1.3pt,6pt" to="481.25pt,7.45pt" stroked="t" style="position:absolute;flip:y">
            <v:stroke color="#3deb3d" weight="36360" joinstyle="round" endcap="flat"/>
            <v:fill on="false" detectmouseclick="t"/>
          </v:line>
        </w:pict>
      </w:r>
    </w:p>
    <w:p>
      <w:pPr>
        <w:pStyle w:val="Contenidodelatabla"/>
        <w:jc w:val="center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Contenidodelatabla"/>
        <w:jc w:val="center"/>
        <w:rPr>
          <w:b/>
          <w:bCs/>
        </w:rPr>
      </w:pPr>
      <w:bookmarkStart w:id="0" w:name="line11"/>
      <w:bookmarkEnd w:id="0"/>
      <w:r>
        <w:rPr>
          <w:b/>
          <w:bCs/>
        </w:rPr>
        <w:t>Standards of Medical Care in Diabetes-2013</w:t>
      </w:r>
    </w:p>
    <w:p>
      <w:pPr>
        <w:pStyle w:val="Textopreformateado"/>
        <w:jc w:val="center"/>
        <w:rPr>
          <w:rFonts w:ascii="Times New Roman" w:hAnsi="Times New Roman"/>
          <w:sz w:val="24"/>
          <w:szCs w:val="24"/>
        </w:rPr>
      </w:pPr>
      <w:bookmarkStart w:id="1" w:name="line1"/>
      <w:bookmarkEnd w:id="1"/>
      <w:r>
        <w:rPr>
          <w:rFonts w:ascii="Times New Roman" w:hAnsi="Times New Roman"/>
          <w:sz w:val="24"/>
          <w:szCs w:val="24"/>
        </w:rPr>
        <w:t>http://care.diabetesjournals.org/content/36/Supplement_1/S11.full</w:t>
      </w:r>
    </w:p>
    <w:p>
      <w:pPr>
        <w:pStyle w:val="Textopreformateado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2" w:name="line12"/>
      <w:bookmarkEnd w:id="2"/>
      <w:r>
        <w:rPr>
          <w:rFonts w:ascii="Times New Roman" w:hAnsi="Times New Roman"/>
          <w:b/>
          <w:bCs/>
          <w:sz w:val="24"/>
          <w:szCs w:val="24"/>
        </w:rPr>
        <w:t>Definition, diagnosis and classification of diabetes mellitus and its complications. Report of a WHO consultation, Part 1: Diagnosis and classification of diabetes mellitus.</w:t>
      </w:r>
    </w:p>
    <w:p>
      <w:pPr>
        <w:pStyle w:val="Textopreformateado"/>
        <w:jc w:val="center"/>
        <w:rPr>
          <w:rFonts w:ascii="Times New Roman" w:hAnsi="Times New Roman"/>
          <w:sz w:val="24"/>
          <w:szCs w:val="24"/>
        </w:rPr>
      </w:pPr>
      <w:bookmarkStart w:id="3" w:name="line13"/>
      <w:bookmarkEnd w:id="3"/>
      <w:r>
        <w:rPr>
          <w:rFonts w:ascii="Times New Roman" w:hAnsi="Times New Roman"/>
          <w:sz w:val="24"/>
          <w:szCs w:val="24"/>
        </w:rPr>
        <w:t>http://whqlibdoc.who.int/hq/1999/WHO_NCD_NCS_99.2.pdf</w:t>
      </w:r>
    </w:p>
    <w:sectPr>
      <w:footerReference w:type="default" r:id="rId9"/>
      <w:type w:val="nextPage"/>
      <w:pgSz w:w="11906" w:h="16838"/>
      <w:pgMar w:left="1134" w:right="1134" w:header="0" w:top="1134" w:footer="1134" w:bottom="1648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Piedepgina"/>
      <w:jc w:val="center"/>
      <w:rPr>
        <w:sz w:val="20"/>
        <w:szCs w:val="20"/>
      </w:rPr>
    </w:pPr>
    <w:r>
      <w:rPr>
        <w:sz w:val="20"/>
        <w:szCs w:val="20"/>
      </w:rPr>
      <w:t>Semergen Cantabria – Eduardo Gutiérrez Delgado</w:t>
      <w:drawing>
        <wp:anchor behindDoc="0" distT="0" distB="0" distL="0" distR="0" simplePos="0" locked="0" layoutInCell="1" allowOverlap="1" relativeHeight="2">
          <wp:simplePos x="0" y="0"/>
          <wp:positionH relativeFrom="column">
            <wp:align>left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7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  <w:drawing>
        <wp:anchor behindDoc="0" distT="0" distB="0" distL="0" distR="0" simplePos="0" locked="0" layoutInCell="1" allowOverlap="1" relativeHeight="3">
          <wp:simplePos x="0" y="0"/>
          <wp:positionH relativeFrom="column">
            <wp:align>right</wp:align>
          </wp:positionH>
          <wp:positionV relativeFrom="paragraph">
            <wp:align>top</wp:align>
          </wp:positionV>
          <wp:extent cx="304800" cy="304800"/>
          <wp:effectExtent l="0" t="0" r="0" b="0"/>
          <wp:wrapTopAndBottom/>
          <wp:docPr id="8" name="Picture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04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SimSun" w:cs="Tahoma"/>
        <w:sz w:val="24"/>
        <w:szCs w:val="24"/>
        <w:lang w:val="es-ES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Tahoma"/>
      <w:color w:val="auto"/>
      <w:sz w:val="24"/>
      <w:szCs w:val="24"/>
      <w:lang w:val="es-ES" w:eastAsia="zh-CN" w:bidi="hi-IN"/>
    </w:rPr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paragraph" w:styleId="Encabezado">
    <w:name w:val="Encabezado"/>
    <w:basedOn w:val="Normal"/>
    <w:next w:val="Cuerpodetexto"/>
    <w:pPr>
      <w:keepNext/>
      <w:spacing w:before="240" w:after="120"/>
    </w:pPr>
    <w:rPr>
      <w:rFonts w:ascii="Arial" w:hAnsi="Arial" w:eastAsia="SimSun" w:cs="Tahoma"/>
      <w:sz w:val="28"/>
      <w:szCs w:val="28"/>
    </w:rPr>
  </w:style>
  <w:style w:type="paragraph" w:styleId="Cuerpodetexto">
    <w:name w:val="Cuerpo de texto"/>
    <w:basedOn w:val="Normal"/>
    <w:pPr>
      <w:spacing w:before="0" w:after="120"/>
    </w:pPr>
    <w:rPr/>
  </w:style>
  <w:style w:type="paragraph" w:styleId="Lista">
    <w:name w:val="Lista"/>
    <w:basedOn w:val="Cuerpodetexto"/>
    <w:pPr/>
    <w:rPr>
      <w:rFonts w:cs="Tahoma"/>
    </w:rPr>
  </w:style>
  <w:style w:type="paragraph" w:styleId="Pie">
    <w:name w:val="Pie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pPr>
      <w:suppressLineNumbers/>
    </w:pPr>
    <w:rPr>
      <w:rFonts w:cs="Tahoma"/>
    </w:rPr>
  </w:style>
  <w:style w:type="paragraph" w:styleId="Contenidodelatabla">
    <w:name w:val="Contenido de la tabla"/>
    <w:basedOn w:val="Normal"/>
    <w:pPr>
      <w:suppressLineNumbers/>
    </w:pPr>
    <w:rPr/>
  </w:style>
  <w:style w:type="paragraph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Lneahorizontal">
    <w:name w:val="Línea horizontal"/>
    <w:basedOn w:val="Normal"/>
    <w:next w:val="Cuerpodetexto"/>
    <w:pPr>
      <w:suppressLineNumbers/>
      <w:pBdr>
        <w:top w:val="nil"/>
        <w:left w:val="nil"/>
        <w:bottom w:val="double" w:sz="2" w:space="0" w:color="808080"/>
        <w:right w:val="nil"/>
      </w:pBdr>
      <w:spacing w:before="0" w:after="283"/>
    </w:pPr>
    <w:rPr>
      <w:sz w:val="12"/>
      <w:szCs w:val="12"/>
    </w:rPr>
  </w:style>
  <w:style w:type="paragraph" w:styleId="Piedepgina">
    <w:name w:val="Pie de págin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Textopreformateado">
    <w:name w:val="Texto preformateado"/>
    <w:basedOn w:val="Normal"/>
    <w:pPr>
      <w:spacing w:before="0" w:after="0"/>
    </w:pPr>
    <w:rPr>
      <w:rFonts w:ascii="Courier New" w:hAnsi="Courier New" w:eastAsia="NSimSun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gif"/><Relationship Id="rId4" Type="http://schemas.openxmlformats.org/officeDocument/2006/relationships/image" Target="media/image3.gif"/><Relationship Id="rId5" Type="http://schemas.openxmlformats.org/officeDocument/2006/relationships/image" Target="media/image4.gif"/><Relationship Id="rId6" Type="http://schemas.openxmlformats.org/officeDocument/2006/relationships/image" Target="media/image5.gif"/><Relationship Id="rId7" Type="http://schemas.openxmlformats.org/officeDocument/2006/relationships/image" Target="media/image6.gif"/><Relationship Id="rId8" Type="http://schemas.openxmlformats.org/officeDocument/2006/relationships/image" Target="media/image7.gif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8.gif"/><Relationship Id="rId2" Type="http://schemas.openxmlformats.org/officeDocument/2006/relationships/image" Target="media/image9.gif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3317</TotalTime>
  <Application>LibreOffice/4.2.6.2$Windows_x86 LibreOffice_project/185f2ce4dcc34af9bd97dec29e6d42c39557298f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2013-10-31T16:49:53Z</dcterms:created>
  <dc:creator>Eduardo Gutiérrez Delgado</dc:creator>
  <dc:language>es-ES</dc:language>
  <cp:lastModifiedBy>Eduardo Gutiérrez Delgado</cp:lastModifiedBy>
  <dcterms:modified xsi:type="dcterms:W3CDTF">2014-08-26T17:51:56Z</dcterms:modified>
  <cp:revision>6</cp:revision>
</cp:coreProperties>
</file>