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Insuficiencia cardiaca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C</w:t>
            </w:r>
            <w:r>
              <w:rPr>
                <w:b/>
                <w:bCs/>
                <w:sz w:val="32"/>
                <w:szCs w:val="32"/>
              </w:rPr>
              <w:t>lasificación según la anomalía estructural (ACC/AHA)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12" w:space="0" w:color="3DEB3D"/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Estadio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 riesgo de insuficiencia cardiaca. Anomalía estructural o funcional no identificada y sin signos ni síntomas.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Estadio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Enfermedad cardiaca estructural desarrollada claramente, en relación con insuficiencia cardiaca, pero sin signos ni síntomas. Gasto cardiaco normal.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Estadio 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Insuficiencia cardiaca sintomática asociada a enfermedad estructural subyacente. 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Estadio </w:t>
            </w: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Enfermedad cardiaca estructural avanzada y síntomas acusados de insuficiencia cardiaca en reposo a pesar de tratamiento médico máximo.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both"/>
        <w:rPr/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CC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American College of Cardiology.</w:t>
      </w:r>
    </w:p>
    <w:p>
      <w:pPr>
        <w:pStyle w:val="Contenidodelatabla"/>
        <w:jc w:val="both"/>
        <w:rPr/>
      </w:pPr>
      <w:r>
        <w:rPr>
          <w:b/>
          <w:bCs/>
          <w:sz w:val="24"/>
          <w:szCs w:val="24"/>
        </w:rPr>
        <w:t>AHA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American Heart Association</w:t>
      </w:r>
      <w:r>
        <w:rPr>
          <w:sz w:val="24"/>
          <w:szCs w:val="24"/>
        </w:rPr>
        <w:t>.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6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7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8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17153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2016-11-19T20:36:44Z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