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Índice Tobillo-Brazo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20765" cy="27876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278765"/>
                        </a:xfrm>
                        <a:prstGeom prst="rect"/>
                        <a:solidFill>
                          <a:srgbClr val="00FF00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Interpret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ación</w:t>
                            </w: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FF00" style="position:absolute;rotation:-0;width:481.95pt;height:21.95pt;mso-wrap-distance-left:5.7pt;mso-wrap-distance-right:5.7pt;mso-wrap-distance-top:5.7pt;mso-wrap-distance-bottom:5.7pt;margin-top:7.2pt;mso-position-vertical-relative:text;margin-left:0pt;mso-position-horizontal-relative:text">
                <v:textbox inset="0in,0in,0in,0in">
                  <w:txbxContent>
                    <w:p>
                      <w:pPr>
                        <w:pStyle w:val="Normal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Interpret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ación</w:t>
                      </w: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354" w:type="dxa"/>
        <w:jc w:val="left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6"/>
        <w:gridCol w:w="7938"/>
      </w:tblGrid>
      <w:tr>
        <w:trPr/>
        <w:tc>
          <w:tcPr>
            <w:tcW w:w="1416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ITB</w:t>
            </w:r>
          </w:p>
        </w:tc>
        <w:tc>
          <w:tcPr>
            <w:tcW w:w="7938" w:type="dxa"/>
            <w:tcBorders>
              <w:top w:val="single" w:sz="8" w:space="0" w:color="3DEB3D"/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B3B3B3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16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  <w:t xml:space="preserve">&gt;1,3 </w:t>
            </w:r>
          </w:p>
        </w:tc>
        <w:tc>
          <w:tcPr>
            <w:tcW w:w="793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Sospecha de calcificación arterial</w:t>
            </w:r>
          </w:p>
        </w:tc>
      </w:tr>
      <w:tr>
        <w:trPr/>
        <w:tc>
          <w:tcPr>
            <w:tcW w:w="1416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/>
            </w:pPr>
            <w:r>
              <w:rPr/>
              <w:t xml:space="preserve">0,91 a 1,3 </w:t>
            </w:r>
          </w:p>
        </w:tc>
        <w:tc>
          <w:tcPr>
            <w:tcW w:w="793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</w:t>
            </w:r>
          </w:p>
        </w:tc>
      </w:tr>
      <w:tr>
        <w:trPr/>
        <w:tc>
          <w:tcPr>
            <w:tcW w:w="1416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 a 0,9</w:t>
            </w:r>
          </w:p>
        </w:tc>
        <w:tc>
          <w:tcPr>
            <w:tcW w:w="793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Enfermedad arterial periférica obstructiva leve</w:t>
            </w:r>
          </w:p>
        </w:tc>
      </w:tr>
      <w:tr>
        <w:trPr/>
        <w:tc>
          <w:tcPr>
            <w:tcW w:w="1416" w:type="dxa"/>
            <w:tcBorders>
              <w:left w:val="single" w:sz="8" w:space="0" w:color="3DEB3D"/>
              <w:bottom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/>
            </w:pPr>
            <w:r>
              <w:rPr/>
              <w:t xml:space="preserve">0,41 a 0,7 </w:t>
            </w:r>
          </w:p>
        </w:tc>
        <w:tc>
          <w:tcPr>
            <w:tcW w:w="793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  <w:shd w:fill="E6E6E6" w:val="clear"/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Enfermedad arterial periférica obstructiva moderada</w:t>
            </w:r>
          </w:p>
        </w:tc>
      </w:tr>
      <w:tr>
        <w:trPr/>
        <w:tc>
          <w:tcPr>
            <w:tcW w:w="1416" w:type="dxa"/>
            <w:tcBorders>
              <w:left w:val="single" w:sz="8" w:space="0" w:color="3DEB3D"/>
              <w:bottom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/>
            </w:pPr>
            <w:r>
              <w:rPr/>
              <w:t>≤</w:t>
            </w:r>
            <w:r>
              <w:rPr/>
              <w:t xml:space="preserve">0,4 </w:t>
            </w:r>
          </w:p>
        </w:tc>
        <w:tc>
          <w:tcPr>
            <w:tcW w:w="7938" w:type="dxa"/>
            <w:tcBorders>
              <w:left w:val="single" w:sz="8" w:space="0" w:color="3DEB3D"/>
              <w:bottom w:val="single" w:sz="8" w:space="0" w:color="3DEB3D"/>
              <w:right w:val="single" w:sz="8" w:space="0" w:color="3DEB3D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Enfermedad arterial periférica obstructiva grave</w:t>
            </w:r>
          </w:p>
        </w:tc>
      </w:tr>
      <w:tr>
        <w:trPr>
          <w:trHeight w:val="62" w:hRule="atLeast"/>
        </w:trPr>
        <w:tc>
          <w:tcPr>
            <w:tcW w:w="1416" w:type="dxa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38" w:type="dxa"/>
            <w:tcBorders/>
          </w:tcPr>
          <w:p>
            <w:pPr>
              <w:pStyle w:val="Contenidodelatabla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" w:hRule="atLeast"/>
        </w:trPr>
        <w:tc>
          <w:tcPr>
            <w:tcW w:w="9354" w:type="dxa"/>
            <w:gridSpan w:val="2"/>
            <w:tcBorders/>
          </w:tcPr>
          <w:p>
            <w:pPr>
              <w:pStyle w:val="Contenidodelatabl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Otros autores dan valores un poco diferentes para los distintos niveles, pero es prácticamente unánime considerar normal por encima de </w:t>
            </w:r>
            <w:r>
              <w:rPr>
                <w:b/>
                <w:bCs/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 xml:space="preserve"> y por debajo de </w:t>
            </w:r>
            <w:r>
              <w:rPr>
                <w:b/>
                <w:bCs/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suficientemente grave para requerir una evaluación por cirugía vascular.</w:t>
            </w:r>
          </w:p>
        </w:tc>
      </w:tr>
    </w:tbl>
    <w:p>
      <w:pPr>
        <w:pStyle w:val="Contenidodelatabl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000" cy="19050"/>
                <wp:effectExtent l="18415" t="18415" r="18415" b="18415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1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ITB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Filtrado glomerular</w:t>
      </w:r>
    </w:p>
    <w:p>
      <w:pPr>
        <w:pStyle w:val="Contenidodelatabla"/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6096000" cy="19050"/>
                <wp:effectExtent l="18415" t="18415" r="18415" b="18415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ID="Forma2" stroked="t" o:allowincell="f" style="position:absolute;flip:y">
                <v:stroke color="#3deb3d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tenidodelatabla"/>
        <w:bidi w:val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ntenidodelatabla"/>
        <w:bidi w:val="0"/>
        <w:jc w:val="center"/>
        <w:rPr/>
      </w:pPr>
      <w:r>
        <w:rPr>
          <w:b w:val="false"/>
          <w:sz w:val="24"/>
          <w:szCs w:val="24"/>
        </w:rPr>
        <w:t>L. Herranz de la Morena.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Índice tobillo brazo para la evaluación de la enfermedad arterial periférica.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Av Diabetol 2005; 21: 224-226.</w:t>
      </w:r>
      <w:r>
        <w:rPr>
          <w:sz w:val="24"/>
          <w:szCs w:val="24"/>
        </w:rPr>
        <w:t xml:space="preserve"> 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https://aeevh.org/wp-content/uploads/2020/05/00011455archivoarticulo.pdf</w:t>
      </w:r>
    </w:p>
    <w:p>
      <w:pPr>
        <w:pStyle w:val="Contenidodelatabla"/>
        <w:bidi w:val="0"/>
        <w:jc w:val="center"/>
        <w:rPr/>
      </w:pPr>
      <w:r>
        <w:rPr>
          <w:b w:val="false"/>
          <w:sz w:val="24"/>
          <w:szCs w:val="24"/>
        </w:rPr>
        <w:t>Arévalo Manso, Juan José; Juárez Martín, Belén; Chacón, Encarnación Gala; Carmen, Rodríguez Martínez.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 índice tobillo-brazo como predictor de mortalidad vascular.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Gerokomos vol.23 no.2 Madrid jun. 2012.</w:t>
      </w:r>
      <w:r>
        <w:rPr>
          <w:sz w:val="24"/>
          <w:szCs w:val="24"/>
        </w:rPr>
        <w:t xml:space="preserve"> 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http://scielo.isciii.es/scielo.php?script=sci_arttext&amp;pid=S1134-928X2012000200007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Guía de Buena Práctica Clínica en Dolor neuropático en el paciente diabético </w:t>
      </w:r>
    </w:p>
    <w:p>
      <w:pPr>
        <w:pStyle w:val="Contenidodelatabla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https://www.cgcom.es/sites/default/files/gbpc_dolor_neuropatico.pdf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4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5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LibreOffice/7.3.0.3$Windows_x86 LibreOffice_project/0f246aa12d0eee4a0f7adcefbf7c878fc2238db3</Application>
  <AppVersion>15.0000</AppVersion>
  <Pages>1</Pages>
  <Words>142</Words>
  <Characters>1075</Characters>
  <CharactersWithSpaces>1204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2022-02-06T22:07:20Z</dcterms:modified>
  <cp:revision>11</cp:revision>
  <dc:subject/>
  <dc:title/>
</cp:coreProperties>
</file>