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jc w:val="center"/>
      </w:pPr>
      <w:r>
        <mc:AlternateContent>
          <mc:Choice Requires="wpg">
            <w:drawing>
              <wp:anchor xmlns:wp="http://schemas.openxmlformats.org/drawingml/2006/wordprocessingDrawing" distT="72390" distB="72390" distL="72390" distR="72390" simplePos="0" relativeHeight="251658241" behindDoc="0" locked="0" layoutInCell="1" allowOverlap="1">
                <wp:simplePos x="0" y="0"/>
                <wp:positionH relativeFrom="page">
                  <wp:posOffset>716915</wp:posOffset>
                </wp:positionH>
                <wp:positionV relativeFrom="page">
                  <wp:posOffset>5082540</wp:posOffset>
                </wp:positionV>
                <wp:extent cx="6134100" cy="283845"/>
                <wp:effectExtent l="0" t="0" r="0" b="0"/>
                <wp:wrapSquare wrapText="bothSides"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6134100" cy="283845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shd w:val="clear" w:color="auto" w:fill="auto"/>
                              </w:rPr>
                              <w:t xml:space="preserve">Indicación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shd w:val="clear" w:color="auto" w:fill="auto"/>
                              </w:rPr>
                              <w:t xml:space="preserve"> de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shd w:val="clear" w:color="auto" w:fill="auto"/>
                              </w:rPr>
                              <w:t xml:space="preserve">radiografía de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shd w:val="clear" w:color="auto" w:fill="auto"/>
                              </w:rPr>
                              <w:t xml:space="preserve">pie</w:t>
                            </w:r>
                          </w:p>
                          <w:p>
                            <w:pPr>
                              <w:pStyle w:val="Normal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style="position:absolute;mso-wrap-distance-left:5.7pt;mso-wrap-distance-top:5.7pt;mso-wrap-distance-right:5.7pt;mso-wrap-distance-bottom:5.7pt;z-index:251658241;o:allowoverlap:true;o:allowincell:true;mso-position-horizontal-relative:page;margin-left:56.4pt;mso-position-horizontal:absolute;mso-position-vertical-relative:page;margin-top:400.2pt;mso-position-vertical:absolute;width:483.0pt;height:22.3pt;" coordsize="100000,100000" path="" fillcolor="#00FF00" stroked="f">
                <v:path textboxrect="0,0,0,0"/>
                <w10:wrap type="square"/>
                <v:textbox>
                  <w:txbxContent>
                    <w:p>
                      <w:pPr>
                        <w:pStyle w:val="Normal"/>
                        <w:jc w:val="center"/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shd w:val="clear" w:color="auto" w:fill="auto"/>
                        </w:rPr>
                        <w:t xml:space="preserve">Indicación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shd w:val="clear" w:color="auto" w:fill="auto"/>
                        </w:rPr>
                        <w:t xml:space="preserve"> de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shd w:val="clear" w:color="auto" w:fill="auto"/>
                        </w:rPr>
                        <w:t xml:space="preserve">radiografía de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shd w:val="clear" w:color="auto" w:fill="auto"/>
                        </w:rPr>
                        <w:t xml:space="preserve">pie</w:t>
                      </w:r>
                    </w:p>
                    <w:p>
                      <w:pPr>
                        <w:pStyle w:val="Normal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distT="72390" distB="72390" distL="72390" distR="72390" simplePos="0" relativeHeight="524288" behindDoc="0" locked="0" layoutInCell="1" allowOverlap="1">
                <wp:simplePos x="0" y="0"/>
                <wp:positionH relativeFrom="page">
                  <wp:posOffset>716915</wp:posOffset>
                </wp:positionH>
                <wp:positionV relativeFrom="page">
                  <wp:posOffset>1181100</wp:posOffset>
                </wp:positionV>
                <wp:extent cx="6134100" cy="283845"/>
                <wp:effectExtent l="0" t="0" r="0" b="0"/>
                <wp:wrapSquare wrapText="bothSides"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6134100" cy="283845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shd w:val="clear" w:color="auto" w:fill="auto"/>
                              </w:rPr>
                              <w:t xml:space="preserve">Indicación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shd w:val="clear" w:color="auto" w:fill="auto"/>
                              </w:rPr>
                              <w:t xml:space="preserve"> de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shd w:val="clear" w:color="auto" w:fill="auto"/>
                              </w:rPr>
                              <w:t xml:space="preserve">radiografía de tobillo</w:t>
                            </w:r>
                          </w:p>
                          <w:p>
                            <w:pPr>
                              <w:pStyle w:val="Normal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style="position:absolute;mso-wrap-distance-left:5.7pt;mso-wrap-distance-top:5.7pt;mso-wrap-distance-right:5.7pt;mso-wrap-distance-bottom:5.7pt;z-index:524288;o:allowoverlap:true;o:allowincell:true;mso-position-horizontal-relative:page;margin-left:56.4pt;mso-position-horizontal:absolute;mso-position-vertical-relative:page;margin-top:93.0pt;mso-position-vertical:absolute;width:483.0pt;height:22.3pt;" coordsize="100000,100000" path="" fillcolor="#00FF00" stroked="f">
                <v:path textboxrect="0,0,0,0"/>
                <w10:wrap type="square"/>
                <v:textbox>
                  <w:txbxContent>
                    <w:p>
                      <w:pPr>
                        <w:pStyle w:val="Normal"/>
                        <w:jc w:val="center"/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shd w:val="clear" w:color="auto" w:fill="auto"/>
                        </w:rPr>
                        <w:t xml:space="preserve">Indicación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shd w:val="clear" w:color="auto" w:fill="auto"/>
                        </w:rPr>
                        <w:t xml:space="preserve"> de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shd w:val="clear" w:color="auto" w:fill="auto"/>
                        </w:rPr>
                        <w:t xml:space="preserve">radiografía de tobillo</w:t>
                      </w:r>
                    </w:p>
                    <w:p>
                      <w:pPr>
                        <w:pStyle w:val="Normal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40"/>
          <w:szCs w:val="40"/>
        </w:rPr>
        <w:t xml:space="preserve">Reglas de Ottawa</w:t>
      </w:r>
    </w:p>
    <w:p>
      <w:pPr>
        <w:pStyle w:val="Normal"/>
        <w:jc w:val="center"/>
        <w:rPr>
          <w:sz w:val="16"/>
          <w:szCs w:val="16"/>
        </w:rPr>
      </w:pPr>
      <w:r>
        <mc:AlternateContent>
          <mc:Choice Requires="wpg">
            <w:drawing>
              <wp:anchor xmlns:wp="http://schemas.openxmlformats.org/drawingml/2006/wordprocessingDrawing" distT="0" distB="0" distL="0" distR="0" simplePos="0" relativeHeight="251658243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510540</wp:posOffset>
                </wp:positionV>
                <wp:extent cx="2760345" cy="1710690"/>
                <wp:effectExtent l="0" t="0" r="0" b="0"/>
                <wp:wrapTopAndBottom/>
                <wp:docPr id="6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760345" cy="171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mso-wrap-distance-left:0.0pt;mso-wrap-distance-top:0.0pt;mso-wrap-distance-right:0.0pt;mso-wrap-distance-bottom:0.0pt;z-index:251658243;o:allowoverlap:true;o:allowincell:true;mso-position-horizontal-relative:text;margin-left:0.5pt;mso-position-horizontal:absolute;mso-position-vertical-relative:text;margin-top:40.2pt;mso-position-vertical:absolute;width:217.3pt;height:134.7pt;" stroked="f">
                <v:path textboxrect="0,0,0,0"/>
                <v:imagedata r:id="rId8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distT="0" distB="0" distL="0" distR="0" simplePos="0" relativeHeight="251658244" behindDoc="0" locked="0" layoutInCell="1" allowOverlap="1">
                <wp:simplePos x="0" y="0"/>
                <wp:positionH relativeFrom="column">
                  <wp:posOffset>3513455</wp:posOffset>
                </wp:positionH>
                <wp:positionV relativeFrom="paragraph">
                  <wp:posOffset>452755</wp:posOffset>
                </wp:positionV>
                <wp:extent cx="2617470" cy="1707515"/>
                <wp:effectExtent l="0" t="0" r="0" b="0"/>
                <wp:wrapTopAndBottom/>
                <wp:docPr id="7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2617470" cy="170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mso-wrap-distance-left:0.0pt;mso-wrap-distance-top:0.0pt;mso-wrap-distance-right:0.0pt;mso-wrap-distance-bottom:0.0pt;z-index:251658244;o:allowoverlap:true;o:allowincell:true;mso-position-horizontal-relative:text;margin-left:276.6pt;mso-position-horizontal:absolute;mso-position-vertical-relative:text;margin-top:35.6pt;mso-position-vertical:absolute;width:206.1pt;height:134.4pt;" stroked="f">
                <v:path textboxrect="0,0,0,0"/>
                <v:imagedata r:id="rId9" o:title=""/>
              </v:shape>
            </w:pict>
          </mc:Fallback>
        </mc:AlternateContent>
      </w:r>
      <w:r>
        <w:rPr>
          <w:sz w:val="16"/>
          <w:szCs w:val="16"/>
        </w:rPr>
      </w:r>
    </w:p>
    <w:tbl>
      <w:tblPr>
        <w:tblW w:w="0" w:type="auto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</w:tblPr>
      <w:tblGrid>
        <w:gridCol w:w="9696"/>
      </w:tblGrid>
      <w:tr>
        <w:trPr>
          <w:cantSplit w:val="false"/>
        </w:trPr>
        <w:tc>
          <w:tcPr>
            <w:tcW w:w="9696" w:type="nil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shd w:val="clear" w:color="auto" w:fill="ffffff"/>
            <w:textDirection w:val="lrTb"/>
            <w:vAlign w:val="center"/>
          </w:tcPr>
          <w:p>
            <w:pPr>
              <w:pStyle w:val="UserStyle_2"/>
              <w:jc w:val="both"/>
            </w:pPr>
            <w:r>
              <w:t xml:space="preserve">Está indicado realizar una radiografía de tobillo si existe </w:t>
            </w:r>
            <w:r>
              <w:rPr>
                <w:b/>
              </w:rPr>
              <w:t xml:space="preserve">dolor en la zona maleolar</w:t>
            </w:r>
            <w:r>
              <w:t xml:space="preserve"> y alguna de las siguientes condiciones:</w:t>
            </w:r>
          </w:p>
        </w:tc>
      </w:tr>
      <w:tr>
        <w:trPr>
          <w:cantSplit w:val="false"/>
        </w:trPr>
        <w:tc>
          <w:tcPr>
            <w:tcW w:w="9696" w:type="nil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shd w:val="clear" w:color="auto" w:fill="ffffff"/>
            <w:textDirection w:val="lrTb"/>
            <w:vAlign w:val="center"/>
          </w:tcPr>
          <w:p>
            <w:pPr>
              <w:pStyle w:val="UserStyle_2"/>
              <w:ind w:left="709" w:right="0" w:firstLine="0"/>
              <w:jc w:val="both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3820" cy="83820"/>
                      <wp:effectExtent l="0" t="0" r="0" b="0"/>
                      <wp:docPr id="8" name="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>
                              <a:xfrm>
                                <a:off x="0" y="0"/>
                                <a:ext cx="83820" cy="83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mso-wrap-distance-left:0.0pt;mso-wrap-distance-top:0.0pt;mso-wrap-distance-right:0.0pt;mso-wrap-distance-bottom:0.0pt;width:6.6pt;height:6.6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t xml:space="preserve"> Dolor a la palpación en los 6 cms. distales del borde posterior del peroné o punta del maleolo lateral.</w:t>
            </w:r>
          </w:p>
        </w:tc>
      </w:tr>
      <w:tr>
        <w:trPr>
          <w:cantSplit w:val="false"/>
        </w:trPr>
        <w:tc>
          <w:tcPr>
            <w:tcW w:w="9696" w:type="nil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shd w:val="clear" w:color="auto" w:fill="ffffff"/>
            <w:textDirection w:val="lrTb"/>
            <w:vAlign w:val="center"/>
          </w:tcPr>
          <w:p>
            <w:pPr>
              <w:pStyle w:val="UserStyle_2"/>
              <w:ind w:left="709" w:right="0" w:firstLine="0"/>
              <w:jc w:val="both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3820" cy="83820"/>
                      <wp:effectExtent l="0" t="0" r="0" b="0"/>
                      <wp:docPr id="9" name="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>
                              <a:xfrm>
                                <a:off x="0" y="0"/>
                                <a:ext cx="83820" cy="83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mso-wrap-distance-left:0.0pt;mso-wrap-distance-top:0.0pt;mso-wrap-distance-right:0.0pt;mso-wrap-distance-bottom:0.0pt;width:6.6pt;height:6.6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t xml:space="preserve"> Dolor a la palpación en los 6 cms. distales del borde posterior de la tibia o punta del maleolo medial.</w:t>
            </w:r>
          </w:p>
        </w:tc>
      </w:tr>
      <w:tr>
        <w:trPr>
          <w:cantSplit w:val="false"/>
        </w:trPr>
        <w:tc>
          <w:tcPr>
            <w:tcW w:w="9696" w:type="nil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shd w:val="clear" w:color="auto" w:fill="ffffff"/>
            <w:textDirection w:val="lrTb"/>
            <w:vAlign w:val="center"/>
          </w:tcPr>
          <w:p>
            <w:pPr>
              <w:pStyle w:val="UserStyle_2"/>
              <w:ind w:left="709" w:right="0" w:firstLine="0"/>
              <w:jc w:val="both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3820" cy="83820"/>
                      <wp:effectExtent l="0" t="0" r="0" b="0"/>
                      <wp:docPr id="10" name="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>
                              <a:xfrm>
                                <a:off x="0" y="0"/>
                                <a:ext cx="83820" cy="83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mso-wrap-distance-left:0.0pt;mso-wrap-distance-top:0.0pt;mso-wrap-distance-right:0.0pt;mso-wrap-distance-bottom:0.0pt;width:6.6pt;height:6.6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t xml:space="preserve"> Incapacidad para sostener el peso corporal del paciente en el momento de producirse la lesión e inmediatamente después, e incapacidad para deambular más de cuatro pasos durante la exploración física.</w:t>
            </w:r>
          </w:p>
        </w:tc>
      </w:tr>
    </w:tbl>
    <w:p>
      <w:pPr>
        <w:pStyle w:val="UserStyle_2"/>
        <w:jc w:val="both"/>
        <w:rPr>
          <w:b/>
          <w:bCs/>
          <w:sz w:val="16"/>
          <w:szCs w:val="16"/>
          <w:shd w:val="clear" w:color="auto" w:fill="auto"/>
        </w:rPr>
      </w:pPr>
      <w:r>
        <mc:AlternateContent>
          <mc:Choice Requires="wpg">
            <w:drawing>
              <wp:anchor xmlns:wp="http://schemas.openxmlformats.org/drawingml/2006/wordprocessingDrawing" distT="0" distB="0" distL="0" distR="0" simplePos="0" relativeHeight="251658245" behindDoc="0" locked="0" layoutInCell="1" allowOverlap="1">
                <wp:simplePos x="0" y="0"/>
                <wp:positionH relativeFrom="column">
                  <wp:posOffset>-3174</wp:posOffset>
                </wp:positionH>
                <wp:positionV relativeFrom="paragraph">
                  <wp:posOffset>438150</wp:posOffset>
                </wp:positionV>
                <wp:extent cx="2876550" cy="1448435"/>
                <wp:effectExtent l="0" t="0" r="0" b="0"/>
                <wp:wrapTopAndBottom/>
                <wp:docPr id="1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>
                        <a:xfrm>
                          <a:off x="0" y="0"/>
                          <a:ext cx="2876550" cy="144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position:absolute;mso-wrap-distance-left:0.0pt;mso-wrap-distance-top:0.0pt;mso-wrap-distance-right:0.0pt;mso-wrap-distance-bottom:0.0pt;z-index:251658245;o:allowoverlap:true;o:allowincell:true;mso-position-horizontal-relative:text;margin-left:-0.2pt;mso-position-horizontal:absolute;mso-position-vertical-relative:text;margin-top:34.5pt;mso-position-vertical:absolute;width:226.5pt;height:114.0pt;" stroked="f">
                <v:path textboxrect="0,0,0,0"/>
                <v:imagedata r:id="rId13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distT="0" distB="0" distL="0" distR="0" simplePos="0" relativeHeight="251658246" behindDoc="0" locked="0" layoutInCell="1" allowOverlap="1">
                <wp:simplePos x="0" y="0"/>
                <wp:positionH relativeFrom="column">
                  <wp:posOffset>3223895</wp:posOffset>
                </wp:positionH>
                <wp:positionV relativeFrom="paragraph">
                  <wp:posOffset>438150</wp:posOffset>
                </wp:positionV>
                <wp:extent cx="2907030" cy="1440815"/>
                <wp:effectExtent l="0" t="0" r="0" b="0"/>
                <wp:wrapTopAndBottom/>
                <wp:docPr id="12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>
                        <a:xfrm>
                          <a:off x="0" y="0"/>
                          <a:ext cx="2907030" cy="144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position:absolute;mso-wrap-distance-left:0.0pt;mso-wrap-distance-top:0.0pt;mso-wrap-distance-right:0.0pt;mso-wrap-distance-bottom:0.0pt;z-index:251658246;o:allowoverlap:true;o:allowincell:true;mso-position-horizontal-relative:text;margin-left:253.8pt;mso-position-horizontal:absolute;mso-position-vertical-relative:text;margin-top:34.5pt;mso-position-vertical:absolute;width:228.9pt;height:113.4pt;" stroked="f">
                <v:path textboxrect="0,0,0,0"/>
                <v:imagedata r:id="rId14" o:title=""/>
              </v:shape>
            </w:pict>
          </mc:Fallback>
        </mc:AlternateContent>
      </w:r>
      <w:r>
        <w:rPr>
          <w:b/>
          <w:bCs/>
          <w:sz w:val="16"/>
          <w:szCs w:val="16"/>
          <w:shd w:val="clear" w:color="auto" w:fill="auto"/>
        </w:rPr>
      </w:r>
    </w:p>
    <w:tbl>
      <w:tblPr>
        <w:tblW w:w="0" w:type="auto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</w:tblPr>
      <w:tblGrid>
        <w:gridCol w:w="9696"/>
      </w:tblGrid>
      <w:tr>
        <w:trPr>
          <w:cantSplit w:val="false"/>
        </w:trPr>
        <w:tc>
          <w:tcPr>
            <w:tcW w:w="9696" w:type="nil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shd w:val="clear" w:color="auto" w:fill="ffffff"/>
            <w:textDirection w:val="lrTb"/>
            <w:vAlign w:val="center"/>
          </w:tcPr>
          <w:p>
            <w:pPr>
              <w:pStyle w:val="UserStyle_2"/>
              <w:jc w:val="both"/>
            </w:pPr>
            <w:r>
              <w:t xml:space="preserve">Está indicado realizar una</w:t>
            </w:r>
            <w:r>
              <w:rPr>
                <w:b w:val="0"/>
                <w:bCs w:val="0"/>
              </w:rPr>
              <w:t xml:space="preserve"> radiografía del pie si existe </w:t>
            </w:r>
            <w:r>
              <w:rPr>
                <w:b/>
              </w:rPr>
              <w:t xml:space="preserve">dolor en la zona media del pie </w:t>
            </w:r>
            <w:r>
              <w:t xml:space="preserve"> y alguna de las siguientes condiciones:</w:t>
            </w:r>
          </w:p>
        </w:tc>
      </w:tr>
      <w:tr>
        <w:trPr>
          <w:cantSplit w:val="false"/>
        </w:trPr>
        <w:tc>
          <w:tcPr>
            <w:tcW w:w="9696" w:type="nil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shd w:val="clear" w:color="auto" w:fill="ffffff"/>
            <w:textDirection w:val="lrTb"/>
            <w:vAlign w:val="center"/>
          </w:tcPr>
          <w:p>
            <w:pPr>
              <w:pStyle w:val="UserStyle_2"/>
              <w:ind w:left="709" w:right="0" w:firstLine="0"/>
              <w:jc w:val="both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3820" cy="83820"/>
                      <wp:effectExtent l="0" t="0" r="0" b="0"/>
                      <wp:docPr id="13" name="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>
                              <a:xfrm>
                                <a:off x="0" y="0"/>
                                <a:ext cx="83820" cy="83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" o:spid="_x0000_s12" type="#_x0000_t75" style="mso-wrap-distance-left:0.0pt;mso-wrap-distance-top:0.0pt;mso-wrap-distance-right:0.0pt;mso-wrap-distance-bottom:0.0pt;width:6.6pt;height:6.6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t xml:space="preserve"> Dolor a la palpación en la base del 5º metatarsiano.</w:t>
            </w:r>
          </w:p>
        </w:tc>
      </w:tr>
      <w:tr>
        <w:trPr>
          <w:cantSplit w:val="false"/>
        </w:trPr>
        <w:tc>
          <w:tcPr>
            <w:tcW w:w="9696" w:type="nil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shd w:val="clear" w:color="auto" w:fill="ffffff"/>
            <w:textDirection w:val="lrTb"/>
            <w:vAlign w:val="center"/>
          </w:tcPr>
          <w:p>
            <w:pPr>
              <w:pStyle w:val="UserStyle_2"/>
              <w:ind w:left="709" w:right="0" w:firstLine="0"/>
              <w:jc w:val="both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3820" cy="83820"/>
                      <wp:effectExtent l="0" t="0" r="0" b="0"/>
                      <wp:docPr id="14" name="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>
                              <a:xfrm>
                                <a:off x="0" y="0"/>
                                <a:ext cx="83820" cy="83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" o:spid="_x0000_s13" type="#_x0000_t75" style="mso-wrap-distance-left:0.0pt;mso-wrap-distance-top:0.0pt;mso-wrap-distance-right:0.0pt;mso-wrap-distance-bottom:0.0pt;width:6.6pt;height:6.6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t xml:space="preserve"> Dolor a la palpación sobre el hueso escafoides o navicular.</w:t>
            </w:r>
          </w:p>
        </w:tc>
      </w:tr>
      <w:tr>
        <w:trPr>
          <w:cantSplit w:val="false"/>
        </w:trPr>
        <w:tc>
          <w:tcPr>
            <w:tcW w:w="9696" w:type="nil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shd w:val="clear" w:color="auto" w:fill="ffffff"/>
            <w:textDirection w:val="lrTb"/>
            <w:vAlign w:val="center"/>
          </w:tcPr>
          <w:p>
            <w:pPr>
              <w:pStyle w:val="UserStyle_2"/>
              <w:ind w:left="709" w:right="0" w:firstLine="0"/>
              <w:jc w:val="both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3820" cy="83820"/>
                      <wp:effectExtent l="0" t="0" r="0" b="0"/>
                      <wp:docPr id="15" name="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>
                              <a:xfrm>
                                <a:off x="0" y="0"/>
                                <a:ext cx="83820" cy="83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" o:spid="_x0000_s14" type="#_x0000_t75" style="mso-wrap-distance-left:0.0pt;mso-wrap-distance-top:0.0pt;mso-wrap-distance-right:0.0pt;mso-wrap-distance-bottom:0.0pt;width:6.6pt;height:6.6pt;" stroked="f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t xml:space="preserve"> Incapacidad para sostener el peso corporal del paciente en el momento de producirse la lesión e inmediatamente después, e incapacidad para deambular más de cuatro pasos durante la exploración física.</w:t>
            </w:r>
          </w:p>
        </w:tc>
      </w:tr>
    </w:tbl>
    <w:p>
      <w:pPr>
        <w:pStyle w:val="Normal"/>
        <w:jc w:val="both"/>
        <w:rPr>
          <w:sz w:val="20"/>
          <w:szCs w:val="20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121920</wp:posOffset>
                </wp:positionV>
                <wp:extent cx="6172835" cy="24765"/>
                <wp:effectExtent l="0" t="0" r="0" b="0"/>
                <wp:wrapNone/>
                <wp:docPr id="1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 flipV="1">
                          <a:off x="0" y="0"/>
                          <a:ext cx="6172835" cy="24765"/>
                        </a:xfrm>
                        <a:prstGeom prst="line">
                          <a:avLst/>
                        </a:prstGeom>
                        <a:noFill/>
                        <a:ln w="36359">
                          <a:solidFill>
                            <a:srgbClr val="3DEB3D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5" o:spt="20" style="position:absolute;mso-wrap-distance-left:9.0pt;mso-wrap-distance-top:0.0pt;mso-wrap-distance-right:9.0pt;mso-wrap-distance-bottom:0.0pt;z-index:251658242;o:allowoverlap:true;o:allowincell:true;mso-position-horizontal-relative:text;margin-left:0.9pt;mso-position-horizontal:absolute;mso-position-vertical-relative:text;margin-top:9.6pt;mso-position-vertical:absolute;width:486.0pt;height:1.9pt;flip:y;" coordsize="100000,100000" path="" filled="f" strokecolor="#3DEB3D" strokeweight="2.86pt">
                <v:path textboxrect="0,0,0,0"/>
              </v:shape>
            </w:pict>
          </mc:Fallback>
        </mc:AlternateContent>
      </w:r>
      <w:r>
        <w:rPr>
          <w:sz w:val="20"/>
          <w:szCs w:val="20"/>
        </w:rPr>
      </w:r>
    </w:p>
    <w:p>
      <w:pPr>
        <w:pStyle w:val="UserStyle_2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UserStyle_2"/>
        <w:jc w:val="center"/>
      </w:pPr>
      <w:r>
        <w:fldChar w:fldCharType="begin"/>
      </w:r>
      <w:r>
        <w:instrText xml:space="preserve"> HYPERLINK "https://www.ncbi.nlm.nih.gov/pmc/articles/PMC1336591/" \n _blank</w:instrText>
      </w:r>
      <w:r>
        <w:fldChar w:fldCharType="separate"/>
      </w:r>
      <w:r>
        <w:rPr>
          <w:rStyle w:val="Hyperlink"/>
          <w:b w:val="0"/>
          <w:sz w:val="20"/>
          <w:szCs w:val="20"/>
          <w:u w:val="none"/>
        </w:rPr>
        <w:t xml:space="preserve">I G Stiell, I McDowell, R C Nair, H Aeta, G Greenberg, R D McKnight, and J Ahuja.</w:t>
      </w:r>
      <w:r>
        <w:fldChar w:fldCharType="end"/>
      </w:r>
      <w:r>
        <w:fldChar w:fldCharType="begin"/>
      </w:r>
      <w:r>
        <w:instrText xml:space="preserve"> HYPERLINK "https://www.ncbi.nlm.nih.gov/pmc/articles/PMC1336591/" \n _blank</w:instrText>
      </w:r>
      <w:r>
        <w:fldChar w:fldCharType="separate"/>
      </w:r>
      <w:r>
        <w:rPr>
          <w:rStyle w:val="Hyperlink"/>
          <w:sz w:val="20"/>
          <w:szCs w:val="20"/>
          <w:u w:val="none"/>
        </w:rPr>
        <w:t xml:space="preserve"> Use of radiography in acute ankle injuries: physicians' attitudes and practice. </w:t>
      </w:r>
      <w:r>
        <w:fldChar w:fldCharType="end"/>
      </w:r>
      <w:r>
        <w:fldChar w:fldCharType="begin"/>
      </w:r>
      <w:r>
        <w:instrText xml:space="preserve"> HYPERLINK "https://www.ncbi.nlm.nih.gov/pmc/articles/PMC1336591/" \n _blank</w:instrText>
      </w:r>
      <w:r>
        <w:fldChar w:fldCharType="separate"/>
      </w:r>
      <w:r>
        <w:rPr>
          <w:rStyle w:val="Hyperlink"/>
          <w:b w:val="0"/>
          <w:sz w:val="20"/>
          <w:szCs w:val="20"/>
          <w:u w:val="none"/>
        </w:rPr>
        <w:t xml:space="preserve">CMAJ. 1992 Dec 1; 147(11): 1671-1678.</w:t>
      </w:r>
      <w:r>
        <w:fldChar w:fldCharType="end"/>
      </w:r>
      <w:r>
        <w:rPr>
          <w:sz w:val="20"/>
          <w:szCs w:val="20"/>
          <w:u w:val="none"/>
        </w:rPr>
        <w:t xml:space="preserve"> </w:t>
      </w:r>
    </w:p>
    <w:p>
      <w:pPr>
        <w:pStyle w:val="UserStyle_2"/>
        <w:jc w:val="center"/>
        <w:rPr>
          <w:sz w:val="12"/>
          <w:szCs w:val="12"/>
          <w:u w:val="none"/>
        </w:rPr>
      </w:pPr>
      <w:r>
        <w:rPr>
          <w:sz w:val="12"/>
          <w:szCs w:val="12"/>
          <w:u w:val="none"/>
        </w:rPr>
      </w:r>
    </w:p>
    <w:p>
      <w:pPr>
        <w:pStyle w:val="UserStyle_2"/>
        <w:jc w:val="center"/>
        <w:rPr>
          <w:b w:val="0"/>
          <w:sz w:val="12"/>
          <w:szCs w:val="12"/>
          <w:u w:val="none"/>
        </w:rPr>
      </w:pPr>
      <w:r>
        <w:fldChar w:fldCharType="begin"/>
      </w:r>
      <w:r>
        <w:instrText xml:space="preserve"> HYPERLINK "https://www.sciencedirect.com/science/article/pii/S0212656701789135?via%3Dihub" \n _blank</w:instrText>
      </w:r>
      <w:r>
        <w:fldChar w:fldCharType="separate"/>
      </w:r>
      <w:r>
        <w:rPr>
          <w:rStyle w:val="Hyperlink"/>
          <w:b w:val="0"/>
          <w:sz w:val="20"/>
          <w:szCs w:val="20"/>
          <w:u w:val="none"/>
        </w:rPr>
        <w:t xml:space="preserve">P.Garcés, S.Gurucharri, C.Ibiricu, M.E.Izuel, J.A.Mozo, P.Buil, J.Díez.</w:t>
      </w:r>
      <w:r>
        <w:fldChar w:fldCharType="end"/>
      </w:r>
      <w:r>
        <w:fldChar w:fldCharType="begin"/>
      </w:r>
      <w:r>
        <w:instrText xml:space="preserve"> HYPERLINK "https://www.sciencedirect.com/science/article/pii/S0212656701789135?via%3Dihub" \n _blank</w:instrText>
      </w:r>
      <w:r>
        <w:fldChar w:fldCharType="separate"/>
      </w:r>
      <w:r>
        <w:rPr>
          <w:rStyle w:val="Hyperlink"/>
          <w:sz w:val="20"/>
          <w:szCs w:val="20"/>
          <w:u w:val="none"/>
        </w:rPr>
        <w:t xml:space="preserve"> Reglas del tobillo de Ottawa: análisis de su validez como reglas de decisión clínica en la indicación de radiografías en los traumatismos de tobillo y/o medio pie. </w:t>
      </w:r>
      <w:r>
        <w:fldChar w:fldCharType="end"/>
      </w:r>
      <w:r>
        <w:fldChar w:fldCharType="begin"/>
      </w:r>
      <w:r>
        <w:instrText xml:space="preserve"> HYPERLINK "https://www.sciencedirect.com/science/article/pii/S0212656701789135?via%3Dihub" \n _blank</w:instrText>
      </w:r>
      <w:r>
        <w:fldChar w:fldCharType="separate"/>
      </w:r>
      <w:r>
        <w:rPr>
          <w:rStyle w:val="Hyperlink"/>
          <w:b w:val="0"/>
          <w:sz w:val="20"/>
          <w:szCs w:val="20"/>
          <w:u w:val="none"/>
        </w:rPr>
        <w:t xml:space="preserve">Atención Primaria, Volume 28, Issue 2, 2001, Pages 129-135.</w:t>
      </w:r>
      <w:r>
        <w:fldChar w:fldCharType="end"/>
      </w:r>
      <w:r>
        <w:rPr>
          <w:b w:val="0"/>
          <w:sz w:val="12"/>
          <w:szCs w:val="12"/>
          <w:u w:val="none"/>
        </w:rPr>
      </w:r>
    </w:p>
    <w:p>
      <w:pPr>
        <w:pStyle w:val="UserStyle_2"/>
        <w:jc w:val="center"/>
        <w:rPr>
          <w:b w:val="0"/>
          <w:sz w:val="12"/>
          <w:szCs w:val="12"/>
          <w:u w:val="none"/>
        </w:rPr>
      </w:pPr>
      <w:r>
        <w:rPr>
          <w:b w:val="0"/>
          <w:sz w:val="12"/>
          <w:szCs w:val="12"/>
          <w:u w:val="none"/>
        </w:rPr>
      </w:r>
    </w:p>
    <w:p>
      <w:pPr>
        <w:pStyle w:val="UserStyle_2"/>
        <w:jc w:val="center"/>
      </w:pPr>
      <w:r>
        <w:fldChar w:fldCharType="begin"/>
      </w:r>
      <w:r>
        <w:instrText xml:space="preserve"> HYPERLINK "https://www.ncbi.nlm.nih.gov/pmc/articles/PMC2146318/"</w:instrText>
      </w:r>
      <w:r>
        <w:fldChar w:fldCharType="separate"/>
      </w:r>
      <w:r>
        <w:rPr>
          <w:rStyle w:val="Hyperlink"/>
          <w:b w:val="0"/>
          <w:sz w:val="20"/>
          <w:szCs w:val="20"/>
          <w:u w:val="none"/>
        </w:rPr>
        <w:t xml:space="preserve">I. Stiell. Ottawa ankle rules. Can Fam Physician. 1996 Mar; 42: 478-480. </w:t>
      </w:r>
      <w:r>
        <w:fldChar w:fldCharType="end"/>
      </w:r>
    </w:p>
    <w:sectPr>
      <w:footerReference w:type="default" r:id="rId6"/>
      <w:footerReference w:type="first" r:id="rId7"/>
      <w:footnotePr>
        <w:numFmt w:val="decimal"/>
        <w:numRestart w:val="continuous"/>
      </w:footnotePr>
      <w:endnotePr>
        <w:numFmt w:val="lowerRoman"/>
      </w:endnotePr>
      <w:type w:val="nextPage"/>
      <w:pgSz w:w="11906" w:h="16838"/>
      <w:pgMar w:top="1134" w:right="1134" w:bottom="1648" w:left="1134" w:foo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SimSun">
    <w:panose1 w:val="02010600030101010101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jc w:val="center"/>
    </w:pPr>
    <w:r>
      <mc:AlternateContent>
        <mc:Choice Requires="wpg">
          <w:drawing>
            <wp:anchor xmlns:wp="http://schemas.openxmlformats.org/drawingml/2006/wordprocessingDrawing" distT="0" distB="0" distL="0" distR="0" simplePos="0" relativeHeight="524288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align>top</wp:align>
              </wp:positionV>
              <wp:extent cx="304165" cy="304165"/>
              <wp:effectExtent l="0" t="0" r="0" b="0"/>
              <wp:wrapTopAndBottom/>
              <wp:docPr id="1" name="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304165" cy="304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0.0pt;mso-wrap-distance-top:0.0pt;mso-wrap-distance-right:0.0pt;mso-wrap-distance-bottom:0.0pt;z-index:524288;o:allowoverlap:true;o:allowincell:true;mso-position-horizontal-relative:text;mso-position-horizontal:left;mso-position-vertical-relative:text;mso-position-vertical:top;width:23.9pt;height:23.9pt;" stroked="f">
              <v:path textboxrect="0,0,0,0"/>
              <v:imagedata r:id="rId1" o:title="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distT="0" distB="0" distL="0" distR="0" simplePos="0" relativeHeight="251658241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align>top</wp:align>
              </wp:positionV>
              <wp:extent cx="304165" cy="304165"/>
              <wp:effectExtent l="0" t="0" r="0" b="0"/>
              <wp:wrapTopAndBottom/>
              <wp:docPr id="2" name="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2"/>
                      <a:stretch/>
                    </pic:blipFill>
                    <pic:spPr>
                      <a:xfrm>
                        <a:off x="0" y="0"/>
                        <a:ext cx="304165" cy="304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0.0pt;mso-wrap-distance-top:0.0pt;mso-wrap-distance-right:0.0pt;mso-wrap-distance-bottom:0.0pt;z-index:251658241;o:allowoverlap:true;o:allowincell:true;mso-position-horizontal-relative:text;mso-position-horizontal:right;mso-position-vertical-relative:text;mso-position-vertical:top;width:23.9pt;height:23.9pt;" stroked="f">
              <v:path textboxrect="0,0,0,0"/>
              <v:imagedata r:id="rId2" o:title="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58242" behindDoc="0" locked="0" layoutInCell="1" allowOverlap="1">
              <wp:simplePos x="0" y="0"/>
              <wp:positionH relativeFrom="column">
                <wp:posOffset>31750</wp:posOffset>
              </wp:positionH>
              <wp:positionV relativeFrom="paragraph">
                <wp:posOffset>-200659</wp:posOffset>
              </wp:positionV>
              <wp:extent cx="6156325" cy="17780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>
                      <a:xfrm flipV="1">
                        <a:off x="0" y="0"/>
                        <a:ext cx="6156325" cy="17780"/>
                      </a:xfrm>
                      <a:prstGeom prst="line">
                        <a:avLst/>
                      </a:prstGeom>
                      <a:noFill/>
                      <a:ln w="36359">
                        <a:solidFill>
                          <a:srgbClr val="3DEB3D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20" style="position:absolute;mso-wrap-distance-left:9.0pt;mso-wrap-distance-top:0.0pt;mso-wrap-distance-right:9.0pt;mso-wrap-distance-bottom:0.0pt;z-index:251658242;o:allowoverlap:true;o:allowincell:true;mso-position-horizontal-relative:text;margin-left:2.5pt;mso-position-horizontal:absolute;mso-position-vertical-relative:text;margin-top:-15.8pt;mso-position-vertical:absolute;width:484.8pt;height:1.4pt;flip:y;" coordsize="100000,100000" path="" filled="f" strokecolor="#3DEB3D" strokeweight="2.86pt">
              <v:path textboxrect="0,0,0,0"/>
            </v:shape>
          </w:pict>
        </mc:Fallback>
      </mc:AlternateContent>
    </w:r>
    <w:r>
      <w:rPr>
        <w:sz w:val="20"/>
        <w:szCs w:val="20"/>
      </w:rPr>
      <w:t xml:space="preserve">Semergen Cantabria – Eduardo Gutiérrez Delgado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09"/>
  <w:characterSpacingControl w:val="doNotCompress"/>
  <w:footnotePr/>
  <w:compat>
    <w:balanceSingleByteDoubleByteWidth w:val="true"/>
    <w:doNotLeaveBackslashAlone w:val="true"/>
    <w:ulTrailSpace w:val="true"/>
    <w:adjustLineHeightInTable w:val="true"/>
    <w:doNotUseHTMLParagraphAutoSpacing w:val="true"/>
    <w:compatSetting w:name="compatibilityMode" w:uri="http://schemas.microsoft.com/office/word" w:val="11"/>
  </w:compat>
  <w:themeFontLang w:eastAsia="zh-CN" w:val="en-US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lang w:val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TableNormal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Normal">
    <w:name w:val="Normal"/>
    <w:aliases w:val="Normal"/>
    <w:next w:val="Normal"/>
    <w:pPr>
      <w:widowControl w:val="off"/>
    </w:pPr>
    <w:rPr>
      <w:rFonts w:ascii="Times New Roman" w:hAnsi="Times New Roman" w:eastAsia="SimSun"/>
      <w:color w:val="auto"/>
      <w:sz w:val="24"/>
      <w:szCs w:val="24"/>
      <w:lang w:val="es-ES" w:bidi="hi-IN" w:eastAsia="zh-CN"/>
    </w:rPr>
  </w:style>
  <w:style w:type="character" w:styleId="Hyperlink">
    <w:name w:val="Enlace de Internet"/>
    <w:next w:val="Hyperlink"/>
    <w:link w:val="Normal"/>
    <w:rPr>
      <w:color w:val="000080"/>
      <w:u w:val="single"/>
      <w:lang w:val="en-US" w:bidi="en-US" w:eastAsia="en-US"/>
    </w:rPr>
  </w:style>
  <w:style w:type="paragraph" w:styleId="UserStyle_0">
    <w:name w:val="Título"/>
    <w:basedOn w:val="Normal"/>
    <w:next w:val="BodyText"/>
    <w:link w:val="Normal"/>
    <w:pPr>
      <w:keepNext/>
      <w:spacing w:before="240" w:after="120"/>
    </w:pPr>
    <w:rPr>
      <w:rFonts w:ascii="Arial" w:hAnsi="Arial" w:eastAsia="SimSun"/>
      <w:sz w:val="28"/>
      <w:szCs w:val="28"/>
    </w:rPr>
  </w:style>
  <w:style w:type="paragraph" w:styleId="BodyText">
    <w:name w:val="Cuerpo de texto"/>
    <w:basedOn w:val="Normal"/>
    <w:next w:val="BodyText"/>
    <w:link w:val="Normal"/>
    <w:pPr>
      <w:spacing w:before="0" w:after="120"/>
    </w:pPr>
  </w:style>
  <w:style w:type="paragraph" w:styleId="List">
    <w:name w:val="Lista"/>
    <w:basedOn w:val="BodyText"/>
    <w:next w:val="List"/>
    <w:link w:val="Normal"/>
  </w:style>
  <w:style w:type="paragraph" w:styleId="Caption">
    <w:name w:val="Leyenda"/>
    <w:basedOn w:val="Normal"/>
    <w:next w:val="Caption"/>
    <w:link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UserStyle_1">
    <w:name w:val="Índice"/>
    <w:basedOn w:val="Normal"/>
    <w:next w:val="UserStyle_1"/>
    <w:link w:val="Normal"/>
    <w:pPr>
      <w:suppressLineNumbers/>
    </w:pPr>
  </w:style>
  <w:style w:type="paragraph" w:styleId="UserStyle_2">
    <w:name w:val="Contenido de la tabla"/>
    <w:basedOn w:val="Normal"/>
    <w:next w:val="UserStyle_2"/>
    <w:pPr>
      <w:suppressLineNumbers/>
    </w:pPr>
  </w:style>
  <w:style w:type="paragraph" w:styleId="UserStyle_3">
    <w:name w:val="Título de la tabla"/>
    <w:basedOn w:val="UserStyle_2"/>
    <w:next w:val="UserStyle_3"/>
    <w:link w:val="Normal"/>
    <w:pPr>
      <w:suppressLineNumbers/>
      <w:jc w:val="center"/>
    </w:pPr>
    <w:rPr>
      <w:b/>
      <w:bCs/>
    </w:rPr>
  </w:style>
  <w:style w:type="paragraph" w:styleId="UserStyle_4">
    <w:name w:val="Línea horizontal"/>
    <w:basedOn w:val="Normal"/>
    <w:next w:val="BodyText"/>
    <w:link w:val="Normal"/>
    <w:pPr>
      <w:suppressLineNumbers/>
      <w:pBdr>
        <w:top w:val="none" w:color="000000" w:sz="0" w:space="0"/>
        <w:left w:val="none" w:color="000000" w:sz="0" w:space="0"/>
        <w:bottom w:val="single" w:color="808080" w:sz="3" w:space="0"/>
        <w:right w:val="none" w:color="000000" w:sz="0" w:space="0"/>
      </w:pBdr>
      <w:spacing w:before="0" w:after="283"/>
    </w:pPr>
    <w:rPr>
      <w:sz w:val="12"/>
      <w:szCs w:val="12"/>
    </w:rPr>
  </w:style>
  <w:style w:type="paragraph" w:styleId="UserStyle_5">
    <w:name w:val="Cabecera y pie"/>
    <w:basedOn w:val="Normal"/>
    <w:next w:val="UserStyle_5"/>
    <w:pPr>
      <w:suppressLineNumbers/>
      <w:tabs>
        <w:tab w:val="center" w:pos="4819" w:leader="none"/>
        <w:tab w:val="right" w:pos="9638" w:leader="none"/>
      </w:tabs>
    </w:pPr>
  </w:style>
  <w:style w:type="paragraph" w:styleId="Footer">
    <w:name w:val="Pie de página"/>
    <w:basedOn w:val="Normal"/>
    <w:next w:val="Footer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UserStyle_6">
    <w:name w:val="Contenido del marco"/>
    <w:basedOn w:val="Normal"/>
    <w:next w:val="UserStyle_6"/>
    <w:link w:val="Normal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foot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